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6" w:rsidRPr="00DF786C" w:rsidRDefault="00AA2776" w:rsidP="00AA2776">
      <w:pPr>
        <w:pStyle w:val="style1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Nature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Mathematics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–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NCLC</w:t>
      </w:r>
      <w:proofErr w:type="spellEnd"/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333</w:t>
      </w:r>
      <w:r w:rsidR="00F151B9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 Spring 2012</w:t>
      </w:r>
    </w:p>
    <w:p w:rsidR="00AA2776" w:rsidRPr="00DF786C" w:rsidRDefault="00AA2776" w:rsidP="00AA2776">
      <w:pPr>
        <w:pStyle w:val="style1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New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Century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College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Learning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Community</w:t>
      </w:r>
    </w:p>
    <w:p w:rsidR="0048310A" w:rsidRPr="00DF786C" w:rsidRDefault="0048310A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AA2776" w:rsidRPr="00DF786C" w:rsidRDefault="00AA2776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Instructor: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Michael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Gabel,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Ph.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D.</w:t>
      </w:r>
    </w:p>
    <w:p w:rsidR="00AA2776" w:rsidRPr="00DF786C" w:rsidRDefault="00AA2776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Location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Time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course:</w:t>
      </w:r>
      <w:r w:rsidR="00AE6921" w:rsidRPr="00DF786C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3634D" w:rsidRPr="00DF786C">
        <w:rPr>
          <w:rFonts w:asciiTheme="minorHAnsi" w:hAnsiTheme="minorHAnsi" w:cstheme="minorHAnsi"/>
          <w:color w:val="000000"/>
          <w:sz w:val="20"/>
          <w:szCs w:val="20"/>
        </w:rPr>
        <w:t>Tuesday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4:30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7:10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Innovation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3634D" w:rsidRPr="00DF786C">
        <w:rPr>
          <w:rFonts w:asciiTheme="minorHAnsi" w:hAnsiTheme="minorHAnsi" w:cstheme="minorHAnsi"/>
          <w:color w:val="000000"/>
          <w:sz w:val="20"/>
          <w:szCs w:val="20"/>
        </w:rPr>
        <w:t>208</w:t>
      </w:r>
    </w:p>
    <w:p w:rsidR="00AA2776" w:rsidRPr="00DF786C" w:rsidRDefault="00AA2776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Location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office: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Enterprise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Hall,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Room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E22EA">
        <w:rPr>
          <w:rFonts w:asciiTheme="minorHAnsi" w:hAnsiTheme="minorHAnsi" w:cstheme="minorHAnsi"/>
          <w:color w:val="000000"/>
          <w:sz w:val="20"/>
          <w:szCs w:val="20"/>
        </w:rPr>
        <w:t>410</w:t>
      </w:r>
    </w:p>
    <w:p w:rsidR="00AA2776" w:rsidRPr="00DF786C" w:rsidRDefault="00AA2776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Phone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number: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(703)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993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1484</w:t>
      </w:r>
      <w:r w:rsidR="00EA0FA1">
        <w:rPr>
          <w:rFonts w:asciiTheme="minorHAnsi" w:hAnsiTheme="minorHAnsi" w:cstheme="minorHAnsi"/>
          <w:color w:val="000000"/>
          <w:sz w:val="20"/>
          <w:szCs w:val="20"/>
        </w:rPr>
        <w:t xml:space="preserve"> (contacting via e-mail is preferred)</w:t>
      </w:r>
    </w:p>
    <w:p w:rsidR="00AA2776" w:rsidRPr="00DF786C" w:rsidRDefault="00AA2776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Email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address: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6" w:history="1">
        <w:r w:rsidRPr="00DF786C">
          <w:rPr>
            <w:rStyle w:val="Hyperlink"/>
            <w:rFonts w:asciiTheme="minorHAnsi" w:hAnsiTheme="minorHAnsi" w:cstheme="minorHAnsi"/>
            <w:sz w:val="20"/>
            <w:szCs w:val="20"/>
          </w:rPr>
          <w:t>mgabel@gmu.edu</w:t>
        </w:r>
      </w:hyperlink>
      <w:r w:rsidR="00092311">
        <w:rPr>
          <w:sz w:val="20"/>
          <w:szCs w:val="20"/>
        </w:rPr>
        <w:t xml:space="preserve">  </w:t>
      </w:r>
      <w:r w:rsidR="00092311" w:rsidRPr="00092311">
        <w:rPr>
          <w:b/>
          <w:sz w:val="20"/>
          <w:szCs w:val="20"/>
        </w:rPr>
        <w:t>Website</w:t>
      </w:r>
      <w:r w:rsidR="00092311">
        <w:rPr>
          <w:sz w:val="20"/>
          <w:szCs w:val="20"/>
        </w:rPr>
        <w:t xml:space="preserve">: </w:t>
      </w:r>
      <w:hyperlink r:id="rId7" w:history="1">
        <w:r w:rsidR="00092311" w:rsidRPr="00092311">
          <w:rPr>
            <w:rStyle w:val="Hyperlink"/>
            <w:sz w:val="20"/>
            <w:szCs w:val="20"/>
          </w:rPr>
          <w:t>http://mason.gmu.edu/~mgabel/</w:t>
        </w:r>
      </w:hyperlink>
    </w:p>
    <w:p w:rsidR="00AA2776" w:rsidRPr="00DF786C" w:rsidRDefault="00AA2776" w:rsidP="00FC4CF1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Office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Hours: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5253E">
        <w:rPr>
          <w:rFonts w:asciiTheme="minorHAnsi" w:hAnsiTheme="minorHAnsi" w:cstheme="minorHAnsi"/>
          <w:color w:val="000000"/>
          <w:sz w:val="20"/>
          <w:szCs w:val="20"/>
        </w:rPr>
        <w:t>Tuesday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3F40">
        <w:rPr>
          <w:rFonts w:asciiTheme="minorHAnsi" w:hAnsiTheme="minorHAnsi" w:cstheme="minorHAnsi"/>
          <w:color w:val="000000"/>
          <w:sz w:val="20"/>
          <w:szCs w:val="20"/>
        </w:rPr>
        <w:t>3:15-4:15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4CF1" w:rsidRPr="00DF786C">
        <w:rPr>
          <w:rFonts w:asciiTheme="minorHAnsi" w:hAnsiTheme="minorHAnsi" w:cstheme="minorHAnsi"/>
          <w:color w:val="000000"/>
          <w:sz w:val="20"/>
          <w:szCs w:val="20"/>
        </w:rPr>
        <w:t>Thursday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4CF1" w:rsidRPr="00DF786C">
        <w:rPr>
          <w:rFonts w:asciiTheme="minorHAnsi" w:hAnsiTheme="minorHAnsi" w:cstheme="minorHAnsi"/>
          <w:color w:val="000000"/>
          <w:sz w:val="20"/>
          <w:szCs w:val="20"/>
        </w:rPr>
        <w:t>6:30-7:00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appointment</w:t>
      </w:r>
    </w:p>
    <w:p w:rsidR="00AA2776" w:rsidRPr="00DF786C" w:rsidRDefault="00AA2776" w:rsidP="00FC4CF1">
      <w:pPr>
        <w:pStyle w:val="style2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Text: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Mathematical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Universe: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An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Alphabetical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Journey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Through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Great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Proofs,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Problems,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Personalities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William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Dunham,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John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Wiley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Sons,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1994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1997</w:t>
      </w:r>
      <w:r w:rsidR="00676482">
        <w:rPr>
          <w:rFonts w:asciiTheme="minorHAnsi" w:hAnsiTheme="minorHAnsi" w:cstheme="minorHAnsi"/>
          <w:color w:val="000000"/>
          <w:sz w:val="20"/>
          <w:szCs w:val="20"/>
        </w:rPr>
        <w:t xml:space="preserve">  In addition to other topics that present themselves as the course progresses, </w:t>
      </w:r>
      <w:r w:rsidR="00287AD4">
        <w:rPr>
          <w:rFonts w:asciiTheme="minorHAnsi" w:hAnsiTheme="minorHAnsi" w:cstheme="minorHAnsi"/>
          <w:color w:val="000000"/>
          <w:sz w:val="20"/>
          <w:szCs w:val="20"/>
        </w:rPr>
        <w:t xml:space="preserve">it is expected that </w:t>
      </w:r>
      <w:r w:rsidR="00676482">
        <w:rPr>
          <w:rFonts w:asciiTheme="minorHAnsi" w:hAnsiTheme="minorHAnsi" w:cstheme="minorHAnsi"/>
          <w:color w:val="000000"/>
          <w:sz w:val="20"/>
          <w:szCs w:val="20"/>
        </w:rPr>
        <w:t>we will discuss material from chapters A, C, F, G, H, J, K, M, O, Q, X-Y, and W.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Brief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description</w:t>
      </w:r>
    </w:p>
    <w:p w:rsidR="00AA2776" w:rsidRPr="00DF786C" w:rsidRDefault="00AA2776" w:rsidP="0048310A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A.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Content</w:t>
      </w:r>
    </w:p>
    <w:p w:rsidR="00AA2776" w:rsidRPr="00DF786C" w:rsidRDefault="00AA2776" w:rsidP="0048310A">
      <w:pPr>
        <w:pStyle w:val="style4"/>
        <w:spacing w:before="0" w:beforeAutospacing="0" w:after="0" w:afterAutospacing="0"/>
        <w:ind w:left="496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Theoretical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Framework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nature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Mathematical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Truth: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logic,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F786C">
        <w:rPr>
          <w:rFonts w:asciiTheme="minorHAnsi" w:hAnsiTheme="minorHAnsi" w:cstheme="minorHAnsi"/>
          <w:color w:val="000000"/>
          <w:sz w:val="20"/>
          <w:szCs w:val="20"/>
        </w:rPr>
        <w:t>axiomatics</w:t>
      </w:r>
      <w:proofErr w:type="spellEnd"/>
      <w:r w:rsidRPr="00DF786C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theorems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proofs),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Historical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Context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(what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happened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when,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why),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Connections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some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other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disciplines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("two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culture"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issues,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relations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Science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Art),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Current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Issues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(modern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applications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research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areas,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primary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secondary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school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curricula)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illustrated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selected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Mathematics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Topics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(more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advanced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algebra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geometry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plus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introductions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theory,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probability,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calculus,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number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theory).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Central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presentations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students,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groups,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various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topics/components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course.</w:t>
      </w:r>
    </w:p>
    <w:p w:rsidR="00AA2776" w:rsidRPr="00DF786C" w:rsidRDefault="00AA2776" w:rsidP="0048310A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B.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Perspective</w:t>
      </w:r>
    </w:p>
    <w:p w:rsidR="00AA2776" w:rsidRPr="00DF786C" w:rsidRDefault="00AA2776" w:rsidP="0048310A">
      <w:pPr>
        <w:pStyle w:val="style4"/>
        <w:spacing w:before="0" w:beforeAutospacing="0" w:after="0" w:afterAutospacing="0"/>
        <w:ind w:left="496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Too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often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mathematics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taught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collection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techniques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solving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unimportant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problems.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contrast,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goal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here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mathematics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not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isolated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activity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exercise,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but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contributor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measure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human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culture.</w:t>
      </w:r>
    </w:p>
    <w:p w:rsidR="00AA2776" w:rsidRPr="00DF786C" w:rsidRDefault="00AA2776" w:rsidP="0048310A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Process</w:t>
      </w:r>
    </w:p>
    <w:p w:rsidR="00AA2776" w:rsidRPr="00DF786C" w:rsidRDefault="00AA2776" w:rsidP="0048310A">
      <w:pPr>
        <w:pStyle w:val="style4"/>
        <w:spacing w:before="0" w:beforeAutospacing="0" w:after="0" w:afterAutospacing="0"/>
        <w:ind w:left="496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goal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complete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understanding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discuss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everyone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class.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end,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run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more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seminar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standard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lecture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One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consequence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students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presenting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rest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class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topics/problems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researched/solved.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further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consequence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students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responsibility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good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deal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content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most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“tone”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class.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make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it.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Prerequisites</w:t>
      </w:r>
    </w:p>
    <w:p w:rsidR="00AA2776" w:rsidRPr="00DF786C" w:rsidRDefault="00AA2776" w:rsidP="00AA2776">
      <w:pPr>
        <w:pStyle w:val="style4"/>
        <w:spacing w:before="0" w:beforeAutospacing="0" w:after="0" w:afterAutospacing="0"/>
        <w:ind w:left="316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If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already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general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education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credit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Quantitative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Reasoning,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having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earned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grade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better,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further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prerequisite.</w:t>
      </w:r>
      <w:r w:rsidR="00E655D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not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yet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general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education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credit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Quantitative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Reasoning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earned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grade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lower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general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education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Quantitative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Reasoning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hen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should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meet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one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following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three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0C61" w:rsidRPr="00DF786C">
        <w:rPr>
          <w:rFonts w:asciiTheme="minorHAnsi" w:hAnsiTheme="minorHAnsi" w:cstheme="minorHAnsi"/>
          <w:color w:val="000000"/>
          <w:sz w:val="20"/>
          <w:szCs w:val="20"/>
        </w:rPr>
        <w:t>criteria:</w:t>
      </w:r>
    </w:p>
    <w:p w:rsidR="002E0C61" w:rsidRPr="00DF786C" w:rsidRDefault="00FC4CF1" w:rsidP="002E0C61">
      <w:pPr>
        <w:pStyle w:val="style4"/>
        <w:spacing w:before="0" w:beforeAutospacing="0" w:after="0" w:afterAutospacing="0"/>
        <w:ind w:left="54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1.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Performance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on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Math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Placement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Exam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equivalent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requirements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for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entrance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math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110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math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111</w:t>
      </w:r>
    </w:p>
    <w:p w:rsidR="00FC4CF1" w:rsidRPr="00DF786C" w:rsidRDefault="002E0C61" w:rsidP="002E0C61">
      <w:pPr>
        <w:pStyle w:val="style4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2.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Successful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completion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algebra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program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mathematics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learning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center</w:t>
      </w:r>
    </w:p>
    <w:p w:rsidR="002E0C61" w:rsidRPr="00DF786C" w:rsidRDefault="002E0C61" w:rsidP="00E262EA">
      <w:pPr>
        <w:pStyle w:val="style4"/>
        <w:spacing w:before="0" w:beforeAutospacing="0" w:after="0" w:afterAutospacing="0"/>
        <w:ind w:left="540"/>
        <w:rPr>
          <w:bCs/>
          <w:sz w:val="20"/>
          <w:szCs w:val="20"/>
        </w:rPr>
      </w:pP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3.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Permission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Instructor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(Professor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Gabel).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Call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him: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(703)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993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1484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(better)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e-mail</w:t>
      </w:r>
      <w:r w:rsidR="00AE6921"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Cs/>
          <w:color w:val="000000"/>
          <w:sz w:val="20"/>
          <w:szCs w:val="20"/>
        </w:rPr>
        <w:t>him:</w:t>
      </w:r>
      <w:r w:rsidR="00AE6921" w:rsidRPr="00DF786C">
        <w:rPr>
          <w:bCs/>
          <w:sz w:val="20"/>
          <w:szCs w:val="20"/>
        </w:rPr>
        <w:t xml:space="preserve"> </w:t>
      </w:r>
      <w:hyperlink r:id="rId8" w:history="1">
        <w:r w:rsidR="00E262EA" w:rsidRPr="00DF786C">
          <w:rPr>
            <w:rStyle w:val="Hyperlink"/>
            <w:rFonts w:asciiTheme="minorHAnsi" w:hAnsiTheme="minorHAnsi" w:cstheme="minorHAnsi"/>
            <w:sz w:val="20"/>
            <w:szCs w:val="20"/>
          </w:rPr>
          <w:t>mgabel@gmu.edu</w:t>
        </w:r>
      </w:hyperlink>
    </w:p>
    <w:p w:rsidR="00E262EA" w:rsidRPr="00DF786C" w:rsidRDefault="00E262EA" w:rsidP="00AA2776">
      <w:pPr>
        <w:pStyle w:val="style8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A2776" w:rsidRPr="00DF786C" w:rsidRDefault="00AA2776" w:rsidP="00AA2776">
      <w:pPr>
        <w:pStyle w:val="style8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Assignments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Grading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Policies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[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These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may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be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adjusted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to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match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better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the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way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this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particular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version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of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the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course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is</w:t>
      </w:r>
      <w:r w:rsidR="00AE6921"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 xml:space="preserve"> </w:t>
      </w:r>
      <w:r w:rsidRPr="00B219B8">
        <w:rPr>
          <w:rFonts w:asciiTheme="minorHAnsi" w:hAnsiTheme="minorHAnsi" w:cstheme="minorHAnsi"/>
          <w:b/>
          <w:bCs/>
          <w:color w:val="000000"/>
          <w:sz w:val="16"/>
          <w:szCs w:val="20"/>
        </w:rPr>
        <w:t>progressing.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]</w:t>
      </w:r>
    </w:p>
    <w:p w:rsidR="00FB2DFD" w:rsidRPr="00DF786C" w:rsidRDefault="00FB2DFD" w:rsidP="00AA2776">
      <w:pPr>
        <w:pStyle w:val="style8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9108"/>
      </w:tblGrid>
      <w:tr w:rsidR="00FB2DFD" w:rsidRPr="00DF786C" w:rsidTr="006948AD">
        <w:tc>
          <w:tcPr>
            <w:tcW w:w="1188" w:type="dxa"/>
          </w:tcPr>
          <w:p w:rsidR="00FB2DFD" w:rsidRPr="00DF786C" w:rsidRDefault="00FB2DFD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78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 Cent</w:t>
            </w:r>
          </w:p>
        </w:tc>
        <w:tc>
          <w:tcPr>
            <w:tcW w:w="9108" w:type="dxa"/>
          </w:tcPr>
          <w:p w:rsidR="00FB2DFD" w:rsidRPr="00DF786C" w:rsidRDefault="00FB2DFD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78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FB2DFD" w:rsidRPr="00DF786C" w:rsidTr="006948AD">
        <w:tc>
          <w:tcPr>
            <w:tcW w:w="1188" w:type="dxa"/>
          </w:tcPr>
          <w:p w:rsidR="00FB2DFD" w:rsidRPr="00DF786C" w:rsidRDefault="00FB2DFD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9108" w:type="dxa"/>
          </w:tcPr>
          <w:p w:rsidR="00FB2DFD" w:rsidRPr="005A291A" w:rsidRDefault="00FB2DFD" w:rsidP="00DF786C">
            <w:pPr>
              <w:rPr>
                <w:sz w:val="20"/>
                <w:szCs w:val="20"/>
              </w:rPr>
            </w:pPr>
            <w:r w:rsidRPr="00DF786C">
              <w:rPr>
                <w:sz w:val="20"/>
                <w:szCs w:val="20"/>
              </w:rPr>
              <w:t>Group</w:t>
            </w:r>
            <w:r w:rsidR="00E655D1" w:rsidRPr="00DF786C">
              <w:rPr>
                <w:sz w:val="20"/>
                <w:szCs w:val="20"/>
              </w:rPr>
              <w:t xml:space="preserve">: </w:t>
            </w:r>
            <w:r w:rsidRPr="00DF786C">
              <w:rPr>
                <w:sz w:val="20"/>
                <w:szCs w:val="20"/>
              </w:rPr>
              <w:t xml:space="preserve"> Presentation #1: The class will be divided into </w:t>
            </w:r>
            <w:r w:rsidR="00E655D1" w:rsidRPr="00DF786C">
              <w:rPr>
                <w:sz w:val="20"/>
                <w:szCs w:val="20"/>
              </w:rPr>
              <w:t xml:space="preserve">presentation </w:t>
            </w:r>
            <w:r w:rsidR="00271D94">
              <w:rPr>
                <w:sz w:val="20"/>
                <w:szCs w:val="20"/>
              </w:rPr>
              <w:t xml:space="preserve">groups.  </w:t>
            </w:r>
            <w:r w:rsidR="00DF786C" w:rsidRPr="00DF786C">
              <w:rPr>
                <w:sz w:val="20"/>
                <w:szCs w:val="20"/>
              </w:rPr>
              <w:t>Presentation</w:t>
            </w:r>
            <w:r w:rsidR="00287AD4">
              <w:rPr>
                <w:sz w:val="20"/>
                <w:szCs w:val="20"/>
              </w:rPr>
              <w:t>s</w:t>
            </w:r>
            <w:r w:rsidR="00DF786C" w:rsidRPr="00DF786C">
              <w:rPr>
                <w:sz w:val="20"/>
                <w:szCs w:val="20"/>
              </w:rPr>
              <w:t xml:space="preserve"> </w:t>
            </w:r>
            <w:r w:rsidRPr="00DF786C">
              <w:rPr>
                <w:sz w:val="20"/>
                <w:szCs w:val="20"/>
              </w:rPr>
              <w:t xml:space="preserve">will consist of the </w:t>
            </w:r>
            <w:r w:rsidR="005A291A" w:rsidRPr="00DF786C">
              <w:rPr>
                <w:sz w:val="20"/>
                <w:szCs w:val="20"/>
              </w:rPr>
              <w:t>exposition</w:t>
            </w:r>
            <w:r w:rsidR="00DF786C" w:rsidRPr="00DF786C">
              <w:rPr>
                <w:sz w:val="20"/>
                <w:szCs w:val="20"/>
              </w:rPr>
              <w:t>/teaching</w:t>
            </w:r>
            <w:r w:rsidRPr="00DF786C">
              <w:rPr>
                <w:sz w:val="20"/>
                <w:szCs w:val="20"/>
              </w:rPr>
              <w:t xml:space="preserve"> of some mathematical results placed in an historical perspective.  Presentations will last at least a half hour.  </w:t>
            </w:r>
            <w:r w:rsidR="00E260C1">
              <w:rPr>
                <w:rFonts w:cstheme="minorHAnsi"/>
                <w:bCs/>
                <w:color w:val="000000"/>
                <w:sz w:val="20"/>
                <w:szCs w:val="20"/>
              </w:rPr>
              <w:t>Assignment criteria will be posted</w:t>
            </w:r>
            <w:r w:rsidR="00287AD4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2DFD" w:rsidRPr="00DF786C" w:rsidTr="006948AD">
        <w:tc>
          <w:tcPr>
            <w:tcW w:w="1188" w:type="dxa"/>
          </w:tcPr>
          <w:p w:rsidR="00FB2DFD" w:rsidRPr="00DF786C" w:rsidRDefault="00FB2DFD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9108" w:type="dxa"/>
          </w:tcPr>
          <w:p w:rsidR="00E655D1" w:rsidRPr="00DF786C" w:rsidRDefault="00E655D1" w:rsidP="00271D94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Group:  Presentation Paper #1</w:t>
            </w:r>
            <w:r w:rsidR="005A291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  <w:r w:rsidR="00DF786C"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 </w:t>
            </w:r>
            <w:r w:rsidR="00FB2DFD"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(group-written) research/content paper</w:t>
            </w:r>
            <w:r w:rsidR="00271D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 1500 words (about 4 pages), 1 inch margins (top, bottom, left, right)</w:t>
            </w:r>
            <w:r w:rsidR="00445BF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double spaced, 11 </w:t>
            </w:r>
            <w:r w:rsidR="00271D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point font.</w:t>
            </w:r>
          </w:p>
        </w:tc>
      </w:tr>
      <w:tr w:rsidR="005A291A" w:rsidRPr="00DF786C" w:rsidTr="006948AD">
        <w:tc>
          <w:tcPr>
            <w:tcW w:w="1188" w:type="dxa"/>
          </w:tcPr>
          <w:p w:rsidR="005A291A" w:rsidRPr="00DF786C" w:rsidRDefault="006C56BF" w:rsidP="00CA20DF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</w:t>
            </w:r>
            <w:r w:rsidR="005A291A"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08" w:type="dxa"/>
          </w:tcPr>
          <w:p w:rsidR="005A291A" w:rsidRPr="005A291A" w:rsidRDefault="005A291A" w:rsidP="00CA20DF">
            <w:pPr>
              <w:rPr>
                <w:sz w:val="20"/>
                <w:szCs w:val="20"/>
              </w:rPr>
            </w:pPr>
            <w:r w:rsidRPr="00DF786C">
              <w:rPr>
                <w:sz w:val="20"/>
                <w:szCs w:val="20"/>
              </w:rPr>
              <w:t>Group:  Presentation</w:t>
            </w:r>
            <w:r>
              <w:rPr>
                <w:sz w:val="20"/>
                <w:szCs w:val="20"/>
              </w:rPr>
              <w:t xml:space="preserve"> #2</w:t>
            </w:r>
          </w:p>
        </w:tc>
      </w:tr>
      <w:tr w:rsidR="005A291A" w:rsidRPr="00DF786C" w:rsidTr="006948AD">
        <w:tc>
          <w:tcPr>
            <w:tcW w:w="1188" w:type="dxa"/>
          </w:tcPr>
          <w:p w:rsidR="005A291A" w:rsidRPr="00DF786C" w:rsidRDefault="006C56BF" w:rsidP="00CA20DF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="005A291A"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08" w:type="dxa"/>
          </w:tcPr>
          <w:p w:rsidR="005A291A" w:rsidRPr="00DF786C" w:rsidRDefault="005A291A" w:rsidP="00CA20DF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F78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Group: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Presentation Paper #2</w:t>
            </w:r>
          </w:p>
        </w:tc>
      </w:tr>
      <w:tr w:rsidR="005A291A" w:rsidRPr="00DF786C" w:rsidTr="006948AD">
        <w:tc>
          <w:tcPr>
            <w:tcW w:w="1188" w:type="dxa"/>
          </w:tcPr>
          <w:p w:rsidR="005A291A" w:rsidRPr="00DF786C" w:rsidRDefault="002A44CB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25</w:t>
            </w:r>
            <w:r w:rsidR="00814B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08" w:type="dxa"/>
          </w:tcPr>
          <w:p w:rsidR="005A291A" w:rsidRPr="00DF786C" w:rsidRDefault="006C56BF" w:rsidP="00AA2776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Individual:</w:t>
            </w:r>
            <w:r w:rsidR="003611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14B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In-Class quizzes</w:t>
            </w:r>
            <w:r w:rsidR="00567A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[One week notice will be given.]</w:t>
            </w:r>
          </w:p>
        </w:tc>
      </w:tr>
      <w:tr w:rsidR="005A291A" w:rsidRPr="00DF786C" w:rsidTr="006948AD">
        <w:tc>
          <w:tcPr>
            <w:tcW w:w="1188" w:type="dxa"/>
          </w:tcPr>
          <w:p w:rsidR="005A291A" w:rsidRPr="00DF786C" w:rsidRDefault="002A44CB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  <w:r w:rsidR="00814B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08" w:type="dxa"/>
          </w:tcPr>
          <w:p w:rsidR="005A291A" w:rsidRPr="00DF786C" w:rsidRDefault="006C56BF" w:rsidP="00AA2776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Individual: </w:t>
            </w:r>
            <w:r w:rsidR="003611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5B0A5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Learning Logs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  <w:r w:rsidR="00814B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Assignment criteria will be posted</w:t>
            </w:r>
            <w:r w:rsidR="00287AD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C56BF" w:rsidRPr="00DF786C" w:rsidTr="006948AD">
        <w:tc>
          <w:tcPr>
            <w:tcW w:w="1188" w:type="dxa"/>
          </w:tcPr>
          <w:p w:rsidR="006C56BF" w:rsidRDefault="006C56BF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108" w:type="dxa"/>
          </w:tcPr>
          <w:p w:rsidR="006C56BF" w:rsidRDefault="006C56BF" w:rsidP="00AA2776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Group: </w:t>
            </w:r>
            <w:r w:rsidR="005B0A5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Presentation #3</w:t>
            </w:r>
          </w:p>
        </w:tc>
      </w:tr>
      <w:tr w:rsidR="006C56BF" w:rsidRPr="00DF786C" w:rsidTr="006948AD">
        <w:tc>
          <w:tcPr>
            <w:tcW w:w="1188" w:type="dxa"/>
          </w:tcPr>
          <w:p w:rsidR="006C56BF" w:rsidRDefault="006C56BF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108" w:type="dxa"/>
          </w:tcPr>
          <w:p w:rsidR="006C56BF" w:rsidRDefault="006C56BF" w:rsidP="00271D94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Group: </w:t>
            </w:r>
            <w:r w:rsidR="005B0A5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Presentation Paper #3</w:t>
            </w:r>
            <w:r w:rsidR="00E260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  <w:r w:rsidR="00271D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2200</w:t>
            </w:r>
            <w:r w:rsidR="00445BF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words (about 6</w:t>
            </w:r>
            <w:r w:rsidR="00271D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pages), 1 inch margins (top, bottom, left, right)</w:t>
            </w:r>
            <w:r w:rsidR="00445BF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double spaced, 11 </w:t>
            </w:r>
            <w:r w:rsidR="00271D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point font.</w:t>
            </w:r>
          </w:p>
        </w:tc>
      </w:tr>
      <w:tr w:rsidR="006C56BF" w:rsidRPr="00DF786C" w:rsidTr="006948AD">
        <w:tc>
          <w:tcPr>
            <w:tcW w:w="1188" w:type="dxa"/>
          </w:tcPr>
          <w:p w:rsidR="006C56BF" w:rsidRDefault="006C56BF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108" w:type="dxa"/>
          </w:tcPr>
          <w:p w:rsidR="006948AD" w:rsidRDefault="006C56BF" w:rsidP="00AA2776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Individual:</w:t>
            </w:r>
            <w:r w:rsidR="005B0A5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87AD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Take-Home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Final Exam: Reflection and Problems</w:t>
            </w:r>
            <w:r w:rsidR="00EB08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Set</w:t>
            </w:r>
            <w:r w:rsidR="00E260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Assignment criteria will be posted.</w:t>
            </w:r>
            <w:r w:rsidR="006948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</w:p>
          <w:p w:rsidR="006C56BF" w:rsidRDefault="006948AD" w:rsidP="006948AD">
            <w:pPr>
              <w:pStyle w:val="style8"/>
              <w:spacing w:before="0" w:beforeAutospacing="0" w:after="0" w:afterAutospacing="0"/>
              <w:ind w:left="90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Date: Monday, May</w:t>
            </w:r>
            <w:r w:rsidRPr="006948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</w:t>
            </w:r>
            <w:r w:rsidR="00287AD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6948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7:15 pm</w:t>
            </w:r>
          </w:p>
        </w:tc>
      </w:tr>
      <w:tr w:rsidR="002A44CB" w:rsidRPr="00DF786C" w:rsidTr="006948AD">
        <w:tc>
          <w:tcPr>
            <w:tcW w:w="1188" w:type="dxa"/>
          </w:tcPr>
          <w:p w:rsidR="002A44CB" w:rsidRDefault="002A44CB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9108" w:type="dxa"/>
          </w:tcPr>
          <w:p w:rsidR="002A44CB" w:rsidRDefault="002A44CB" w:rsidP="00AA2776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C56BF" w:rsidRPr="00DF786C" w:rsidTr="006948AD">
        <w:tc>
          <w:tcPr>
            <w:tcW w:w="1188" w:type="dxa"/>
          </w:tcPr>
          <w:p w:rsidR="006C56BF" w:rsidRDefault="00EC2FBA" w:rsidP="00FB2DFD">
            <w:pPr>
              <w:pStyle w:val="style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fldChar w:fldCharType="begin"/>
            </w:r>
            <w:r w:rsidR="002A44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instrText xml:space="preserve"> =SUM(ABOVE)*100 \# "0%" </w:instrTex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fldChar w:fldCharType="separate"/>
            </w:r>
            <w:r w:rsidR="00287AD4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</w:rPr>
              <w:t>100%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6C56BF" w:rsidRDefault="006C56BF" w:rsidP="00AA2776">
            <w:pPr>
              <w:pStyle w:val="style8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FB2DFD" w:rsidRDefault="00FB2DFD" w:rsidP="00AA2776">
      <w:pPr>
        <w:pStyle w:val="style8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76482" w:rsidRPr="00DF786C" w:rsidRDefault="00676482" w:rsidP="00AA2776">
      <w:pPr>
        <w:pStyle w:val="style8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Writing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Intensive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Requirement</w:t>
      </w:r>
    </w:p>
    <w:p w:rsidR="00AA2776" w:rsidRPr="00DF786C" w:rsidRDefault="00AA2776" w:rsidP="00F000AC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fulfills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F786C">
        <w:rPr>
          <w:rFonts w:asciiTheme="minorHAnsi" w:hAnsiTheme="minorHAnsi" w:cstheme="minorHAnsi"/>
          <w:color w:val="000000"/>
          <w:sz w:val="20"/>
          <w:szCs w:val="20"/>
        </w:rPr>
        <w:t>GMU's</w:t>
      </w:r>
      <w:proofErr w:type="spellEnd"/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Writing-Intensive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Requirement.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[See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history="1">
        <w:r w:rsidRPr="00DF786C">
          <w:rPr>
            <w:rStyle w:val="Hyperlink"/>
            <w:rFonts w:asciiTheme="minorHAnsi" w:hAnsiTheme="minorHAnsi" w:cstheme="minorHAnsi"/>
            <w:sz w:val="20"/>
            <w:szCs w:val="20"/>
          </w:rPr>
          <w:t>http://wac.gmu.edu/</w:t>
        </w:r>
      </w:hyperlink>
      <w:r w:rsidRPr="00DF786C">
        <w:rPr>
          <w:rFonts w:asciiTheme="minorHAnsi" w:hAnsiTheme="minorHAnsi" w:cstheme="minorHAnsi"/>
          <w:color w:val="000000"/>
          <w:sz w:val="20"/>
          <w:szCs w:val="20"/>
        </w:rPr>
        <w:t>]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Policy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on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participation</w:t>
      </w:r>
    </w:p>
    <w:p w:rsidR="00AA2776" w:rsidRPr="00DF786C" w:rsidRDefault="00AA2776" w:rsidP="00F000AC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It’s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often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said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it’s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true)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Mathematics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not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spectator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sport.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means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expected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ask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questions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class,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opinion,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engage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material.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confused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puzzled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something,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ask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me,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class.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Policy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on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late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assignments</w:t>
      </w:r>
    </w:p>
    <w:p w:rsidR="00AA2776" w:rsidRPr="00DF786C" w:rsidRDefault="00AA2776" w:rsidP="00F000AC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Except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very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special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circumstances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(and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prior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notice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me,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person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phone),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late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work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not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accepted.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Policy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on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group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grades</w:t>
      </w:r>
    </w:p>
    <w:p w:rsidR="00AA2776" w:rsidRPr="00DF786C" w:rsidRDefault="00AA2776" w:rsidP="00F000AC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Unless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I’m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presented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evidence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contrary,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assume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each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member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group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contributed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equally,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thus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members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group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receive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same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grade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group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project/presentation.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Commitment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Diversity</w:t>
      </w:r>
    </w:p>
    <w:p w:rsidR="00AA2776" w:rsidRPr="00DF786C" w:rsidRDefault="00AA2776" w:rsidP="00AA2776">
      <w:pPr>
        <w:pStyle w:val="style4"/>
        <w:spacing w:before="0" w:beforeAutospacing="0" w:after="0" w:afterAutospacing="0"/>
        <w:ind w:left="316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New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Century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College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intentionally</w:t>
      </w:r>
      <w:r w:rsidR="00AE6921" w:rsidRPr="00DF786C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inclusive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community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celebrates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diversity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strives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faculty,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staff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students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who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reflect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diversity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our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plural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society.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not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discriminate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basis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race,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class,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linguistic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background,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religion,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gender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identity,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sex,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sexual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orientation,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ethnicity,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age,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physical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ability.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Honor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Code</w:t>
      </w:r>
    </w:p>
    <w:p w:rsidR="00AA2776" w:rsidRPr="00DF786C" w:rsidRDefault="00AA2776" w:rsidP="00F000AC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University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Honor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Code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here: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0" w:history="1">
        <w:r w:rsidR="00D50619" w:rsidRPr="00DF786C">
          <w:rPr>
            <w:rStyle w:val="Hyperlink"/>
            <w:rFonts w:asciiTheme="minorHAnsi" w:hAnsiTheme="minorHAnsi" w:cstheme="minorHAnsi"/>
            <w:sz w:val="20"/>
            <w:szCs w:val="20"/>
          </w:rPr>
          <w:t>http://honorcode.gmu.edu/</w:t>
        </w:r>
      </w:hyperlink>
      <w:r w:rsidR="0057380B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Additionally,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provided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following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statement:</w:t>
      </w:r>
    </w:p>
    <w:p w:rsidR="0048310A" w:rsidRPr="0057380B" w:rsidRDefault="00AA2776" w:rsidP="0057380B">
      <w:pPr>
        <w:pStyle w:val="style2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18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integrity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University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community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affected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by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individual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choices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made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by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each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us.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especially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true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New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Century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College.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proofErr w:type="spellStart"/>
      <w:r w:rsidRPr="0057380B">
        <w:rPr>
          <w:rFonts w:asciiTheme="minorHAnsi" w:hAnsiTheme="minorHAnsi" w:cstheme="minorHAnsi"/>
          <w:color w:val="000000"/>
          <w:sz w:val="18"/>
          <w:szCs w:val="20"/>
        </w:rPr>
        <w:t>GMU</w:t>
      </w:r>
      <w:proofErr w:type="spellEnd"/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Honor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Code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with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clear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guidelines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regarding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academic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integrity.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Three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fundamental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rather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simple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principles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follow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times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are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that: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(1)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submitted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be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own;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(2)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when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using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ideas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others,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including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fellow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students,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give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full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credit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through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accurate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citations;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(3)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are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uncertain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about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ground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rules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particular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assignment,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ask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clarification.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grade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important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enough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justify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academic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misconduct.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feel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unusual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pressure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anxiety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about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grade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other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course,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please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talk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with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trusted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friend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counselor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get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situation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perspective.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University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provides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range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service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help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with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test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anxiety,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writing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skills,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study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skills,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other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related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concerns.</w:t>
      </w:r>
    </w:p>
    <w:p w:rsidR="0048310A" w:rsidRPr="0057380B" w:rsidRDefault="0048310A" w:rsidP="0057380B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18"/>
          <w:szCs w:val="20"/>
        </w:rPr>
      </w:pPr>
    </w:p>
    <w:p w:rsidR="0048310A" w:rsidRPr="0057380B" w:rsidRDefault="00AA2776" w:rsidP="0057380B">
      <w:pPr>
        <w:pStyle w:val="style2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18"/>
          <w:szCs w:val="20"/>
        </w:rPr>
      </w:pPr>
      <w:r w:rsidRPr="0057380B">
        <w:rPr>
          <w:rFonts w:asciiTheme="minorHAnsi" w:hAnsiTheme="minorHAnsi" w:cstheme="minorHAnsi"/>
          <w:color w:val="000000"/>
          <w:sz w:val="18"/>
          <w:szCs w:val="20"/>
        </w:rPr>
        <w:t>Some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presentations/projects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are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designed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be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undertaken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individually.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these,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discuss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ideas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with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others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ask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feedback;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however,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not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appropriate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give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someone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else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develop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revise.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are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responsible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making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certain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there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question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own.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only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name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appears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assignment,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professor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right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expect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have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done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yourself,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fully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independently.</w:t>
      </w:r>
    </w:p>
    <w:p w:rsidR="0048310A" w:rsidRPr="0057380B" w:rsidRDefault="0048310A" w:rsidP="0057380B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18"/>
          <w:szCs w:val="20"/>
        </w:rPr>
      </w:pPr>
    </w:p>
    <w:p w:rsidR="00AA2776" w:rsidRPr="0057380B" w:rsidRDefault="00AA2776" w:rsidP="0057380B">
      <w:pPr>
        <w:pStyle w:val="style2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18"/>
          <w:szCs w:val="20"/>
        </w:rPr>
      </w:pPr>
      <w:r w:rsidRPr="0057380B">
        <w:rPr>
          <w:rFonts w:asciiTheme="minorHAnsi" w:hAnsiTheme="minorHAnsi" w:cstheme="minorHAnsi"/>
          <w:color w:val="000000"/>
          <w:sz w:val="18"/>
          <w:szCs w:val="20"/>
        </w:rPr>
        <w:t>With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collaborative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names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participants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should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appear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Over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duration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course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find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necessary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take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various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roles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group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projects.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However,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expected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group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members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contribute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equally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thus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understand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fully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components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project/presentation.</w:t>
      </w:r>
    </w:p>
    <w:p w:rsidR="0048310A" w:rsidRPr="0057380B" w:rsidRDefault="0048310A" w:rsidP="0057380B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18"/>
          <w:szCs w:val="20"/>
        </w:rPr>
      </w:pPr>
    </w:p>
    <w:p w:rsidR="00AA2776" w:rsidRPr="0057380B" w:rsidRDefault="00AA2776" w:rsidP="0057380B">
      <w:pPr>
        <w:pStyle w:val="style2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18"/>
          <w:szCs w:val="20"/>
        </w:rPr>
      </w:pPr>
      <w:r w:rsidRPr="0057380B">
        <w:rPr>
          <w:rFonts w:asciiTheme="minorHAnsi" w:hAnsiTheme="minorHAnsi" w:cstheme="minorHAnsi"/>
          <w:color w:val="000000"/>
          <w:sz w:val="18"/>
          <w:szCs w:val="20"/>
        </w:rPr>
        <w:t>Using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someone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else's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words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ideas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without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giving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them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credit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plagiarism,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very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serious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offense.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very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important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understand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how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prevent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committing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plagiarism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when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using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material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from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source.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wish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quote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verbatim,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must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exact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words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(including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punctuation)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just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appears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original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must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use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quotation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marks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page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number(s)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citation.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want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to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paraphrase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ideas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from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source,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convey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author's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ideas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your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own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words-you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must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still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cite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source.</w:t>
      </w:r>
    </w:p>
    <w:p w:rsidR="0048310A" w:rsidRPr="0057380B" w:rsidRDefault="0048310A" w:rsidP="0057380B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18"/>
          <w:szCs w:val="20"/>
        </w:rPr>
      </w:pPr>
    </w:p>
    <w:p w:rsidR="0048310A" w:rsidRPr="0057380B" w:rsidRDefault="00AA2776" w:rsidP="0057380B">
      <w:pPr>
        <w:pStyle w:val="style2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18"/>
          <w:szCs w:val="20"/>
        </w:rPr>
      </w:pPr>
      <w:r w:rsidRPr="0057380B">
        <w:rPr>
          <w:rFonts w:asciiTheme="minorHAnsi" w:hAnsiTheme="minorHAnsi" w:cstheme="minorHAnsi"/>
          <w:color w:val="000000"/>
          <w:sz w:val="18"/>
          <w:szCs w:val="20"/>
        </w:rPr>
        <w:t>The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re-use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of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papers,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presentations,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etc.,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from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one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course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another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course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not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appropriate.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every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57380B">
        <w:rPr>
          <w:rFonts w:asciiTheme="minorHAnsi" w:hAnsiTheme="minorHAnsi" w:cstheme="minorHAnsi"/>
          <w:color w:val="000000"/>
          <w:sz w:val="18"/>
          <w:szCs w:val="20"/>
        </w:rPr>
        <w:t>NCC</w:t>
      </w:r>
      <w:proofErr w:type="spellEnd"/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course,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faculty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expect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work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submitted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has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been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done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only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that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class.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[An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exception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made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for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materials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included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within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course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and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year-end</w:t>
      </w:r>
      <w:r w:rsidR="00AE6921" w:rsidRPr="0057380B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57380B">
        <w:rPr>
          <w:rFonts w:asciiTheme="minorHAnsi" w:hAnsiTheme="minorHAnsi" w:cstheme="minorHAnsi"/>
          <w:color w:val="000000"/>
          <w:sz w:val="18"/>
          <w:szCs w:val="20"/>
        </w:rPr>
        <w:t>portfolios.]</w:t>
      </w:r>
    </w:p>
    <w:p w:rsidR="0048310A" w:rsidRPr="00DF786C" w:rsidRDefault="0048310A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Learning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Community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Principles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-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How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Learning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Community:</w:t>
      </w:r>
    </w:p>
    <w:p w:rsidR="00AA2776" w:rsidRPr="00DF786C" w:rsidRDefault="00AA2776" w:rsidP="00F000AC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According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1" w:history="1">
        <w:r w:rsidR="00195E63" w:rsidRPr="00DF786C">
          <w:rPr>
            <w:rStyle w:val="Hyperlink"/>
            <w:rFonts w:asciiTheme="minorHAnsi" w:hAnsiTheme="minorHAnsi" w:cstheme="minorHAnsi"/>
            <w:sz w:val="20"/>
            <w:szCs w:val="20"/>
          </w:rPr>
          <w:t>http://ncc.gmu.edu/student-info/learning-communities</w:t>
        </w:r>
      </w:hyperlink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F786C">
        <w:rPr>
          <w:rFonts w:asciiTheme="minorHAnsi" w:hAnsiTheme="minorHAnsi" w:cstheme="minorHAnsi"/>
          <w:color w:val="000000"/>
          <w:sz w:val="20"/>
          <w:szCs w:val="20"/>
        </w:rPr>
        <w:t>NCC</w:t>
      </w:r>
      <w:proofErr w:type="spellEnd"/>
      <w:r w:rsidRPr="00DF786C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learning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communities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are:</w:t>
      </w:r>
    </w:p>
    <w:p w:rsidR="0048310A" w:rsidRPr="00DF786C" w:rsidRDefault="0048310A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AA2776" w:rsidRPr="00DF786C" w:rsidRDefault="00AA2776" w:rsidP="00571E4B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Interdisciplinary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combine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subjects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generally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taught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individual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one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integrated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</w:t>
      </w:r>
    </w:p>
    <w:p w:rsidR="0048310A" w:rsidRPr="00DF786C" w:rsidRDefault="00AA2776" w:rsidP="00571E4B">
      <w:pPr>
        <w:pStyle w:val="style3"/>
        <w:spacing w:before="0" w:beforeAutospacing="0" w:after="0" w:afterAutospacing="0"/>
        <w:ind w:left="54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combines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teaching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some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standard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mathematical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ideas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(and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some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less-standard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ones)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their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historical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cultural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context.</w:t>
      </w:r>
    </w:p>
    <w:p w:rsidR="00AA2776" w:rsidRPr="00DF786C" w:rsidRDefault="00AA2776" w:rsidP="00571E4B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Team-taught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integrate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two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more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faculty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their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disciplinary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perspectives</w:t>
      </w:r>
    </w:p>
    <w:p w:rsidR="00AA2776" w:rsidRPr="00EB08BD" w:rsidRDefault="00AA2776" w:rsidP="00571E4B">
      <w:pPr>
        <w:pStyle w:val="style2"/>
        <w:spacing w:before="0" w:beforeAutospacing="0" w:after="0" w:afterAutospacing="0"/>
        <w:ind w:left="54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Well,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the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team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is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the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whole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class,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for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each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member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of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the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class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will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be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responsible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for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portion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of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the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content.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As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such,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the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class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will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see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variety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of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cultural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and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academic</w:t>
      </w:r>
      <w:r w:rsidR="00AE6921" w:rsidRPr="00EB08B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B08BD">
        <w:rPr>
          <w:rFonts w:asciiTheme="minorHAnsi" w:hAnsiTheme="minorHAnsi" w:cstheme="minorHAnsi"/>
          <w:i/>
          <w:color w:val="000000"/>
          <w:sz w:val="20"/>
          <w:szCs w:val="20"/>
        </w:rPr>
        <w:t>perspectives.</w:t>
      </w:r>
    </w:p>
    <w:p w:rsidR="00AA2776" w:rsidRPr="00DF786C" w:rsidRDefault="00AA2776" w:rsidP="00571E4B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Theme-based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tackle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complex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contemporary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intellectual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inquiry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from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several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different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perspectives</w:t>
      </w:r>
    </w:p>
    <w:p w:rsidR="0048310A" w:rsidRPr="00DF786C" w:rsidRDefault="00AA2776" w:rsidP="00571E4B">
      <w:pPr>
        <w:pStyle w:val="style3"/>
        <w:spacing w:before="0" w:beforeAutospacing="0" w:after="0" w:afterAutospacing="0"/>
        <w:ind w:left="54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course,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we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examine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Nature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Mathematics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from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four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perspectives: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Theoretical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Framework,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Historical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Context,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Connections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some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other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disciplines,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Current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Issues.</w:t>
      </w:r>
    </w:p>
    <w:p w:rsidR="00AA2776" w:rsidRPr="00DF786C" w:rsidRDefault="00AA2776" w:rsidP="00571E4B">
      <w:pPr>
        <w:pStyle w:val="style2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Collaborative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offer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both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faculty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students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chance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learn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from,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teach,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each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other</w:t>
      </w:r>
    </w:p>
    <w:p w:rsidR="00AA2776" w:rsidRPr="00DF786C" w:rsidRDefault="00AA2776" w:rsidP="00571E4B">
      <w:pPr>
        <w:pStyle w:val="style3"/>
        <w:spacing w:before="0" w:beforeAutospacing="0" w:after="0" w:afterAutospacing="0"/>
        <w:ind w:left="36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exactly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point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student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presentation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groups.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substantial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component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taught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students</w:t>
      </w:r>
      <w:r w:rsidR="00AE6921"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themselves.</w:t>
      </w:r>
    </w:p>
    <w:p w:rsidR="0048310A" w:rsidRPr="00DF786C" w:rsidRDefault="0048310A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D84C7E" w:rsidRPr="00DF786C" w:rsidRDefault="00AA2776" w:rsidP="00D84C7E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NCC</w:t>
      </w:r>
      <w:proofErr w:type="spellEnd"/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Competencies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emphasized</w:t>
      </w:r>
      <w:r w:rsidR="00D84C7E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Communication,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Critical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Thinking,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Group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Collaboration,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Aesthetic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4C7E" w:rsidRPr="00DF786C">
        <w:rPr>
          <w:rFonts w:asciiTheme="minorHAnsi" w:hAnsiTheme="minorHAnsi" w:cstheme="minorHAnsi"/>
          <w:color w:val="000000"/>
          <w:sz w:val="20"/>
          <w:szCs w:val="20"/>
        </w:rPr>
        <w:t>Awareness</w:t>
      </w:r>
    </w:p>
    <w:p w:rsidR="00D84C7E" w:rsidRPr="003E6246" w:rsidRDefault="00D84C7E" w:rsidP="00D84C7E">
      <w:pPr>
        <w:pStyle w:val="style2"/>
        <w:rPr>
          <w:sz w:val="20"/>
          <w:szCs w:val="20"/>
        </w:rPr>
      </w:pPr>
      <w:r w:rsidRPr="00DF786C">
        <w:rPr>
          <w:rFonts w:cstheme="minorHAnsi"/>
          <w:b/>
          <w:bCs/>
          <w:color w:val="000000"/>
          <w:sz w:val="20"/>
          <w:szCs w:val="20"/>
        </w:rPr>
        <w:t>Communication</w:t>
      </w:r>
      <w:r w:rsidR="003E6246">
        <w:rPr>
          <w:sz w:val="20"/>
          <w:szCs w:val="20"/>
        </w:rPr>
        <w:t xml:space="preserve">: </w:t>
      </w:r>
      <w:r w:rsidRPr="00DF786C">
        <w:rPr>
          <w:rFonts w:cstheme="minorHAnsi"/>
          <w:color w:val="000000"/>
          <w:sz w:val="20"/>
          <w:szCs w:val="20"/>
        </w:rPr>
        <w:t>Communication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process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creating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sharing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meaning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through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human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interaction.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competent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communicator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will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be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able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to:</w:t>
      </w:r>
    </w:p>
    <w:p w:rsidR="00D84C7E" w:rsidRPr="00DF786C" w:rsidRDefault="00D84C7E" w:rsidP="00D84C7E">
      <w:pPr>
        <w:pStyle w:val="style2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Speak,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read,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write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listen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effectively,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with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attention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audience,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purpose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context.</w:t>
      </w:r>
    </w:p>
    <w:p w:rsidR="00D84C7E" w:rsidRPr="00DF786C" w:rsidRDefault="00D84C7E" w:rsidP="00D84C7E">
      <w:pPr>
        <w:pStyle w:val="style2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Use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appropriate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language,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nonverbal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visual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symbols.</w:t>
      </w:r>
    </w:p>
    <w:p w:rsidR="00D84C7E" w:rsidRPr="00DF786C" w:rsidRDefault="00D84C7E" w:rsidP="00D84C7E">
      <w:pPr>
        <w:pStyle w:val="style2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Organize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ideas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information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strategically.</w:t>
      </w:r>
    </w:p>
    <w:p w:rsidR="00AE6921" w:rsidRPr="00DF786C" w:rsidRDefault="00D84C7E" w:rsidP="00D84C7E">
      <w:pPr>
        <w:pStyle w:val="style2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Design,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revise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produce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work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tailored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diverse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audiences.</w:t>
      </w:r>
    </w:p>
    <w:p w:rsidR="00D84C7E" w:rsidRPr="003E6246" w:rsidRDefault="00D84C7E" w:rsidP="00D84C7E">
      <w:pPr>
        <w:pStyle w:val="style2"/>
        <w:rPr>
          <w:rFonts w:cstheme="minorHAnsi"/>
          <w:b/>
          <w:bCs/>
          <w:color w:val="000000"/>
          <w:sz w:val="20"/>
          <w:szCs w:val="20"/>
        </w:rPr>
      </w:pPr>
      <w:r w:rsidRPr="00DF786C">
        <w:rPr>
          <w:rFonts w:cstheme="minorHAnsi"/>
          <w:b/>
          <w:bCs/>
          <w:color w:val="000000"/>
          <w:sz w:val="20"/>
          <w:szCs w:val="20"/>
        </w:rPr>
        <w:t>Critical</w:t>
      </w:r>
      <w:r w:rsidR="00AE6921" w:rsidRPr="00DF786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cstheme="minorHAnsi"/>
          <w:b/>
          <w:bCs/>
          <w:color w:val="000000"/>
          <w:sz w:val="20"/>
          <w:szCs w:val="20"/>
        </w:rPr>
        <w:t>Thinking</w:t>
      </w:r>
      <w:r w:rsidR="003E6246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Pr="00DF786C">
        <w:rPr>
          <w:rFonts w:cstheme="minorHAnsi"/>
          <w:color w:val="000000"/>
          <w:sz w:val="20"/>
          <w:szCs w:val="20"/>
        </w:rPr>
        <w:t>Critical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thinking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habit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mind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characterized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by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comprehensive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exploration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issues,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ideas,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artifacts,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events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before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accepting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formulating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judgment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conclusion.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 </w:t>
      </w:r>
      <w:r w:rsidRPr="00DF786C">
        <w:rPr>
          <w:rFonts w:cstheme="minorHAnsi"/>
          <w:color w:val="000000"/>
          <w:sz w:val="20"/>
          <w:szCs w:val="20"/>
        </w:rPr>
        <w:t>Someone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who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good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critical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thinker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will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be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able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to:</w:t>
      </w:r>
    </w:p>
    <w:p w:rsidR="00D84C7E" w:rsidRPr="00DF786C" w:rsidRDefault="00D84C7E" w:rsidP="00D84C7E">
      <w:pPr>
        <w:pStyle w:val="style2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Explore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issues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identify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problems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be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solved.</w:t>
      </w:r>
    </w:p>
    <w:p w:rsidR="00D84C7E" w:rsidRPr="00DF786C" w:rsidRDefault="00D84C7E" w:rsidP="00D84C7E">
      <w:pPr>
        <w:pStyle w:val="style2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Identify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evaluate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relevant,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valid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information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evidence.</w:t>
      </w:r>
    </w:p>
    <w:p w:rsidR="00D84C7E" w:rsidRPr="00DF786C" w:rsidRDefault="00D84C7E" w:rsidP="00D84C7E">
      <w:pPr>
        <w:pStyle w:val="style2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Understand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influence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context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assumptions.</w:t>
      </w:r>
    </w:p>
    <w:p w:rsidR="00D84C7E" w:rsidRPr="00DF786C" w:rsidRDefault="00D84C7E" w:rsidP="00D84C7E">
      <w:pPr>
        <w:pStyle w:val="style2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Summarize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synthesize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key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issues.</w:t>
      </w:r>
    </w:p>
    <w:p w:rsidR="00D84C7E" w:rsidRPr="00DF786C" w:rsidRDefault="00D84C7E" w:rsidP="00D84C7E">
      <w:pPr>
        <w:pStyle w:val="style2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Articulate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his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her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own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position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using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evidence-based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arguments.</w:t>
      </w:r>
    </w:p>
    <w:p w:rsidR="00AE6921" w:rsidRPr="00DF786C" w:rsidRDefault="00D84C7E" w:rsidP="00D84C7E">
      <w:pPr>
        <w:pStyle w:val="style2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Design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implement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problem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solving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plans.</w:t>
      </w:r>
    </w:p>
    <w:p w:rsidR="00D84C7E" w:rsidRPr="003E6246" w:rsidRDefault="00D84C7E" w:rsidP="00D84C7E">
      <w:pPr>
        <w:pStyle w:val="style2"/>
        <w:rPr>
          <w:rFonts w:cstheme="minorHAnsi"/>
          <w:b/>
          <w:bCs/>
          <w:color w:val="000000"/>
          <w:sz w:val="20"/>
          <w:szCs w:val="20"/>
        </w:rPr>
      </w:pPr>
      <w:r w:rsidRPr="00DF786C">
        <w:rPr>
          <w:rFonts w:cstheme="minorHAnsi"/>
          <w:b/>
          <w:bCs/>
          <w:color w:val="000000"/>
          <w:sz w:val="20"/>
          <w:szCs w:val="20"/>
        </w:rPr>
        <w:t>Group</w:t>
      </w:r>
      <w:r w:rsidR="00AE6921" w:rsidRPr="00DF786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cstheme="minorHAnsi"/>
          <w:b/>
          <w:bCs/>
          <w:color w:val="000000"/>
          <w:sz w:val="20"/>
          <w:szCs w:val="20"/>
        </w:rPr>
        <w:t>Collaboration</w:t>
      </w:r>
      <w:r w:rsidR="003E6246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Pr="00DF786C">
        <w:rPr>
          <w:rFonts w:cstheme="minorHAnsi"/>
          <w:color w:val="000000"/>
          <w:sz w:val="20"/>
          <w:szCs w:val="20"/>
        </w:rPr>
        <w:t>Group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collaboration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process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working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toward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shared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agenda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and/or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common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purpose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while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capitalizing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diversity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within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group.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 </w:t>
      </w:r>
      <w:r w:rsidRPr="00DF786C">
        <w:rPr>
          <w:rFonts w:cstheme="minorHAnsi"/>
          <w:color w:val="000000"/>
          <w:sz w:val="20"/>
          <w:szCs w:val="20"/>
        </w:rPr>
        <w:t>Effective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group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collaboration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means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that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students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should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be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able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to:</w:t>
      </w:r>
    </w:p>
    <w:p w:rsidR="00D84C7E" w:rsidRPr="00DF786C" w:rsidRDefault="00D84C7E" w:rsidP="00D84C7E">
      <w:pPr>
        <w:pStyle w:val="style2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Create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shared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expectations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common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purpose.</w:t>
      </w:r>
    </w:p>
    <w:p w:rsidR="00D84C7E" w:rsidRPr="00DF786C" w:rsidRDefault="00D84C7E" w:rsidP="00D84C7E">
      <w:pPr>
        <w:pStyle w:val="style2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Understand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choose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roles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tasks.</w:t>
      </w:r>
    </w:p>
    <w:p w:rsidR="00D84C7E" w:rsidRPr="00DF786C" w:rsidRDefault="00D84C7E" w:rsidP="00D84C7E">
      <w:pPr>
        <w:pStyle w:val="style2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Make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decisions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track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progress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collaboratively.</w:t>
      </w:r>
    </w:p>
    <w:p w:rsidR="00D84C7E" w:rsidRPr="00DF786C" w:rsidRDefault="00D84C7E" w:rsidP="00D84C7E">
      <w:pPr>
        <w:pStyle w:val="style2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Facilitate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constructive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consensus-building,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compromise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conflict.</w:t>
      </w:r>
    </w:p>
    <w:p w:rsidR="00D84C7E" w:rsidRPr="00DF786C" w:rsidRDefault="00D84C7E" w:rsidP="00D84C7E">
      <w:pPr>
        <w:pStyle w:val="style2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Integrate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individual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talents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strengths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toward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accomplishment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goals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tasks.</w:t>
      </w:r>
    </w:p>
    <w:p w:rsidR="00D84C7E" w:rsidRPr="00DF786C" w:rsidRDefault="00D84C7E" w:rsidP="00D84C7E">
      <w:pPr>
        <w:pStyle w:val="style2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Be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inclusive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value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diversity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group.</w:t>
      </w:r>
    </w:p>
    <w:p w:rsidR="00D84C7E" w:rsidRPr="003E6246" w:rsidRDefault="00D84C7E" w:rsidP="00D84C7E">
      <w:pPr>
        <w:pStyle w:val="style2"/>
        <w:rPr>
          <w:rFonts w:cstheme="minorHAnsi"/>
          <w:b/>
          <w:bCs/>
          <w:color w:val="000000"/>
          <w:sz w:val="20"/>
          <w:szCs w:val="20"/>
        </w:rPr>
      </w:pPr>
      <w:r w:rsidRPr="00DF786C">
        <w:rPr>
          <w:rFonts w:cstheme="minorHAnsi"/>
          <w:b/>
          <w:bCs/>
          <w:color w:val="000000"/>
          <w:sz w:val="20"/>
          <w:szCs w:val="20"/>
        </w:rPr>
        <w:t>Aesthetic</w:t>
      </w:r>
      <w:r w:rsidR="00AE6921" w:rsidRPr="00DF786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cstheme="minorHAnsi"/>
          <w:b/>
          <w:bCs/>
          <w:color w:val="000000"/>
          <w:sz w:val="20"/>
          <w:szCs w:val="20"/>
        </w:rPr>
        <w:t>Awareness</w:t>
      </w:r>
      <w:r w:rsidR="003E6246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Pr="00DF786C">
        <w:rPr>
          <w:rFonts w:cstheme="minorHAnsi"/>
          <w:color w:val="000000"/>
          <w:sz w:val="20"/>
          <w:szCs w:val="20"/>
        </w:rPr>
        <w:t>Aesthetic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awareness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encourages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individual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develop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intellectual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emotional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responses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nature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human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creativity.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 </w:t>
      </w:r>
      <w:r w:rsidRPr="00DF786C">
        <w:rPr>
          <w:rFonts w:cstheme="minorHAnsi"/>
          <w:color w:val="000000"/>
          <w:sz w:val="20"/>
          <w:szCs w:val="20"/>
        </w:rPr>
        <w:t>An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aesthetically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aware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person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can:</w:t>
      </w:r>
    </w:p>
    <w:p w:rsidR="00D84C7E" w:rsidRPr="00DF786C" w:rsidRDefault="00D84C7E" w:rsidP="00D84C7E">
      <w:pPr>
        <w:pStyle w:val="style2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Understand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historical,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social,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political,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environmental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or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gendered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contexts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specific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created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works.</w:t>
      </w:r>
    </w:p>
    <w:p w:rsidR="00D84C7E" w:rsidRPr="00DF786C" w:rsidRDefault="00D84C7E" w:rsidP="00D84C7E">
      <w:pPr>
        <w:pStyle w:val="style2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Appreciate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complex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processes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creative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expression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multiple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forms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media.</w:t>
      </w:r>
    </w:p>
    <w:p w:rsidR="00D84C7E" w:rsidRPr="00DF786C" w:rsidRDefault="00D84C7E" w:rsidP="00D84C7E">
      <w:pPr>
        <w:pStyle w:val="style2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Recognize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explore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transformative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potential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of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creativity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in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effecting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societal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change.</w:t>
      </w:r>
    </w:p>
    <w:p w:rsidR="0048310A" w:rsidRPr="00DF786C" w:rsidRDefault="00D84C7E" w:rsidP="00B228DC">
      <w:pPr>
        <w:pStyle w:val="style2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 w:rsidRPr="00DF786C">
        <w:rPr>
          <w:rFonts w:cstheme="minorHAnsi"/>
          <w:color w:val="000000"/>
          <w:sz w:val="20"/>
          <w:szCs w:val="20"/>
        </w:rPr>
        <w:t>Value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creative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expression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and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the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natural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world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to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enrich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everyday</w:t>
      </w:r>
      <w:r w:rsidR="00AE6921" w:rsidRPr="00DF786C">
        <w:rPr>
          <w:rFonts w:cstheme="minorHAnsi"/>
          <w:color w:val="000000"/>
          <w:sz w:val="20"/>
          <w:szCs w:val="20"/>
        </w:rPr>
        <w:t xml:space="preserve"> </w:t>
      </w:r>
      <w:r w:rsidRPr="00DF786C">
        <w:rPr>
          <w:rFonts w:cstheme="minorHAnsi"/>
          <w:color w:val="000000"/>
          <w:sz w:val="20"/>
          <w:szCs w:val="20"/>
        </w:rPr>
        <w:t>life.</w:t>
      </w:r>
    </w:p>
    <w:p w:rsidR="00AA2776" w:rsidRPr="00DF786C" w:rsidRDefault="00AA2776" w:rsidP="00AA2776">
      <w:pPr>
        <w:pStyle w:val="style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Writing</w:t>
      </w:r>
      <w:r w:rsidR="00AE6921"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genres</w:t>
      </w:r>
    </w:p>
    <w:p w:rsidR="0048310A" w:rsidRPr="00DF786C" w:rsidRDefault="0048310A" w:rsidP="00AA2776">
      <w:pPr>
        <w:pStyle w:val="style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48310A" w:rsidRPr="00DF786C" w:rsidRDefault="00AA2776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several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types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writing.</w:t>
      </w:r>
    </w:p>
    <w:p w:rsidR="0048310A" w:rsidRPr="00DF786C" w:rsidRDefault="0048310A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AA2776" w:rsidRPr="00DF786C" w:rsidRDefault="00AA2776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First,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assigned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collection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"special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problems"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generated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from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class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discussions.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Except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twist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here.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Usually,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students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math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homework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goal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showing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teacher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can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get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correct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answer.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contrast,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homework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this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course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viewed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written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version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teaching,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so,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such,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it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its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goal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careful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explanation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ideas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written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eager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reader.</w:t>
      </w:r>
    </w:p>
    <w:p w:rsidR="0048310A" w:rsidRPr="00DF786C" w:rsidRDefault="0048310A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48310A" w:rsidRDefault="00AA2776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There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also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number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"Lea</w:t>
      </w:r>
      <w:r w:rsidR="00FB0FA1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ning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Logs."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These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are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writings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designed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help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you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understand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our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text.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48310A" w:rsidRPr="00DF786C" w:rsidRDefault="0048310A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AA2776" w:rsidRDefault="00AA2776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F786C">
        <w:rPr>
          <w:rFonts w:asciiTheme="minorHAnsi" w:hAnsiTheme="minorHAnsi" w:cstheme="minorHAnsi"/>
          <w:color w:val="000000"/>
          <w:sz w:val="20"/>
          <w:szCs w:val="20"/>
        </w:rPr>
        <w:t>Each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three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presentations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be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accompanied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group-written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786C">
        <w:rPr>
          <w:rFonts w:asciiTheme="minorHAnsi" w:hAnsiTheme="minorHAnsi" w:cstheme="minorHAnsi"/>
          <w:color w:val="000000"/>
          <w:sz w:val="20"/>
          <w:szCs w:val="20"/>
        </w:rPr>
        <w:t>paper.</w:t>
      </w:r>
      <w:r w:rsidR="00AE6921" w:rsidRPr="00DF786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FB0FA1" w:rsidRDefault="00FB0FA1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0FA1" w:rsidRPr="00DF786C" w:rsidRDefault="00FB0FA1" w:rsidP="00944AF2">
      <w:pPr>
        <w:pStyle w:val="style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 component of the final exam will be a reflection.</w:t>
      </w:r>
    </w:p>
    <w:sectPr w:rsidR="00FB0FA1" w:rsidRPr="00DF786C" w:rsidSect="00F151B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180"/>
  <w:drawingGridHorizontalSpacing w:val="110"/>
  <w:displayHorizontalDrawingGridEvery w:val="2"/>
  <w:characterSpacingControl w:val="doNotCompress"/>
  <w:compat/>
  <w:rsids>
    <w:rsidRoot w:val="00AA2776"/>
    <w:rsid w:val="000046B5"/>
    <w:rsid w:val="000305E2"/>
    <w:rsid w:val="0004455F"/>
    <w:rsid w:val="00055100"/>
    <w:rsid w:val="00092311"/>
    <w:rsid w:val="001007C0"/>
    <w:rsid w:val="0013634D"/>
    <w:rsid w:val="001556E6"/>
    <w:rsid w:val="00195E63"/>
    <w:rsid w:val="001E7A3A"/>
    <w:rsid w:val="00271D94"/>
    <w:rsid w:val="00287AD4"/>
    <w:rsid w:val="002A44CB"/>
    <w:rsid w:val="002E0C61"/>
    <w:rsid w:val="00315C9C"/>
    <w:rsid w:val="00361139"/>
    <w:rsid w:val="003E6246"/>
    <w:rsid w:val="00445BF1"/>
    <w:rsid w:val="00464F2E"/>
    <w:rsid w:val="0048310A"/>
    <w:rsid w:val="00494834"/>
    <w:rsid w:val="00543AEA"/>
    <w:rsid w:val="00567A1B"/>
    <w:rsid w:val="00571E4B"/>
    <w:rsid w:val="0057380B"/>
    <w:rsid w:val="005A291A"/>
    <w:rsid w:val="005B0A53"/>
    <w:rsid w:val="005D7D76"/>
    <w:rsid w:val="006451B8"/>
    <w:rsid w:val="00676482"/>
    <w:rsid w:val="006948AD"/>
    <w:rsid w:val="006A320B"/>
    <w:rsid w:val="006B755C"/>
    <w:rsid w:val="006C56BF"/>
    <w:rsid w:val="006F0A43"/>
    <w:rsid w:val="00753F40"/>
    <w:rsid w:val="00806C75"/>
    <w:rsid w:val="00814BD6"/>
    <w:rsid w:val="00831139"/>
    <w:rsid w:val="00944AF2"/>
    <w:rsid w:val="009C2B08"/>
    <w:rsid w:val="00A10123"/>
    <w:rsid w:val="00A5253E"/>
    <w:rsid w:val="00AA2776"/>
    <w:rsid w:val="00AE22EA"/>
    <w:rsid w:val="00AE6921"/>
    <w:rsid w:val="00B219B8"/>
    <w:rsid w:val="00B228DC"/>
    <w:rsid w:val="00B523B4"/>
    <w:rsid w:val="00CD474E"/>
    <w:rsid w:val="00D50619"/>
    <w:rsid w:val="00D84C7E"/>
    <w:rsid w:val="00DF786C"/>
    <w:rsid w:val="00E260C1"/>
    <w:rsid w:val="00E262EA"/>
    <w:rsid w:val="00E655D1"/>
    <w:rsid w:val="00E757E0"/>
    <w:rsid w:val="00E75C77"/>
    <w:rsid w:val="00EA0FA1"/>
    <w:rsid w:val="00EB08BD"/>
    <w:rsid w:val="00EC2FBA"/>
    <w:rsid w:val="00EC5A5B"/>
    <w:rsid w:val="00F000AC"/>
    <w:rsid w:val="00F151B9"/>
    <w:rsid w:val="00F20B36"/>
    <w:rsid w:val="00F21906"/>
    <w:rsid w:val="00FB0FA1"/>
    <w:rsid w:val="00FB2DFD"/>
    <w:rsid w:val="00F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2776"/>
  </w:style>
  <w:style w:type="character" w:styleId="Hyperlink">
    <w:name w:val="Hyperlink"/>
    <w:basedOn w:val="DefaultParagraphFont"/>
    <w:uiPriority w:val="99"/>
    <w:unhideWhenUsed/>
    <w:rsid w:val="00AA2776"/>
    <w:rPr>
      <w:color w:val="0000FF"/>
      <w:u w:val="single"/>
    </w:rPr>
  </w:style>
  <w:style w:type="paragraph" w:customStyle="1" w:styleId="style5">
    <w:name w:val="style5"/>
    <w:basedOn w:val="Normal"/>
    <w:rsid w:val="00A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A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A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C61"/>
    <w:rPr>
      <w:b/>
      <w:bCs/>
    </w:rPr>
  </w:style>
  <w:style w:type="character" w:customStyle="1" w:styleId="apple-style-span">
    <w:name w:val="apple-style-span"/>
    <w:basedOn w:val="DefaultParagraphFont"/>
    <w:rsid w:val="002E0C61"/>
  </w:style>
  <w:style w:type="character" w:styleId="FollowedHyperlink">
    <w:name w:val="FollowedHyperlink"/>
    <w:basedOn w:val="DefaultParagraphFont"/>
    <w:uiPriority w:val="99"/>
    <w:semiHidden/>
    <w:unhideWhenUsed/>
    <w:rsid w:val="00F000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559">
          <w:blockQuote w:val="1"/>
          <w:marLeft w:val="316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bel@gm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son.gmu.edu/~mgabe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abel@gmu.edu" TargetMode="External"/><Relationship Id="rId11" Type="http://schemas.openxmlformats.org/officeDocument/2006/relationships/hyperlink" Target="http://ncc.gmu.edu/student-info/learning-communit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norcode.gm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c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BB3BA-2011-40B1-852C-97A8018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mgabel</dc:creator>
  <cp:lastModifiedBy>mgabel</cp:lastModifiedBy>
  <cp:revision>4</cp:revision>
  <dcterms:created xsi:type="dcterms:W3CDTF">2012-01-22T15:52:00Z</dcterms:created>
  <dcterms:modified xsi:type="dcterms:W3CDTF">2012-01-22T17:25:00Z</dcterms:modified>
</cp:coreProperties>
</file>